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Jagera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Wurundjeri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Wurundjeri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It!.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Gumbaynggir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Ballangarry.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Gumbaynggir/Dunghutti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It!.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diplomacy,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imperialism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patriarchal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decision-making,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patriarchal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upholds.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disadvantaged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IWDA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Wiradjuri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decolonize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Enshrining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parliament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Uluru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unsuccessful.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co-authored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 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win-win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imbalances.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decision-making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misogyny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authoritarianism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theoretical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Blackwell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 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theoretical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bureaucracy.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Blackwell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DFAT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diplomacy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diplomacy.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00:14:58]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Mohamed's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post-election.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hiccups,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diplomacy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wielded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Blackwell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DFAT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hawed-out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DFAT,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pigeonholing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Blackwell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parliament,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parliament,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reiterate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3.2%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DFAT,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97%."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Blackwell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atrociously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 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 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meccas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paternalism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indigenous-centered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deconstructing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disadvantaged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destabilize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 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domestically.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femicide.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inconsistencies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Blackwell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Scandinavia,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inhibit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Blackwell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reexamine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hegemony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AUKUS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AUKUS.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AUKUS?"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submarines?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60,000,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endlessly,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irreflective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Wiradjuri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Blackwell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 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re-imaging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 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Blackwell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discomfort,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imbalances,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imbalances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discomfort,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Blackwell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 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 Ballangarry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yaarri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yarraang.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yaarri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yarraang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Gumbaynggir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Yaarri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yaarri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yarraang.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Taherzadeh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Ballangarry,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00:38:02]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Annaliese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Lacodia,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Perdola.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EP1-IWDA-JAMES-ALICE-FINAL (Completed  03/08/24)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14,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_6aioMvdtQlZtiFx9N7EMFNdPVKXECLO3rlv2YD0iAz0w6-OSD_ZYxwudoex656klWVAGy9AcTQ_AYGD6WGvIiu4q24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