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Hunquminum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Musqueam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[Gumbaynggirr 00:00:11]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Gumbaynggirr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Ballangarry.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Gumbaynggirr/Dunghutti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Lightfoot,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Anishinaabe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Keweenaw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Lightfoot,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anti-Vietnam,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D.C.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assimilative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Anishinaabe,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preambular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self-determination,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enshrined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enshrine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incumbent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wrenching.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retrenchment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panacea,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multi-pronged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Trudeau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Rosamond,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Leeuw,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Sámi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Kuokkanen,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compulsion,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 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[Gumbaynggirr 00:31:49]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[Gumbaynggirr 00:31:52]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Gumbaynggirr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[Gumbaynggirr 00:32:02]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[Gumbaynggirr 00:32:21]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00:32:25]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Taghizadeh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Ballangarry,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Kweifio-Okai,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Lecordier.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R2-EP2-DR-LIGHTFOOT-IWDA_mixdown (Completed  03/08/24)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25,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23xa9s8_YanoT9Zpo6-6xE1jfbnRG4QAAb2srgZiVTOj9pm0ZRMeJBBOTodvRahsHQbQtbPjQS4qKePwbHa5uITu0B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